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3EBF" w14:textId="77777777" w:rsidR="00013C02" w:rsidRPr="00013C02" w:rsidRDefault="00013C02" w:rsidP="00013C02">
      <w:pPr>
        <w:pStyle w:val="a3"/>
        <w:spacing w:before="101" w:beforeAutospacing="0" w:after="101" w:afterAutospacing="0" w:line="315" w:lineRule="atLeast"/>
        <w:rPr>
          <w:rFonts w:asciiTheme="minorHAnsi" w:eastAsiaTheme="minorHAnsi" w:hAnsiTheme="minorHAnsi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附件1</w:t>
      </w:r>
    </w:p>
    <w:p w14:paraId="61922404" w14:textId="1CB943B1" w:rsidR="00013C02" w:rsidRPr="00056E27" w:rsidRDefault="0039514B" w:rsidP="00C92D9D">
      <w:pPr>
        <w:pStyle w:val="a4"/>
        <w:rPr>
          <w:rFonts w:ascii="宋体" w:eastAsia="宋体" w:hAnsi="宋体"/>
        </w:rPr>
      </w:pPr>
      <w:r w:rsidRPr="00056E27">
        <w:rPr>
          <w:rFonts w:ascii="宋体" w:eastAsia="宋体" w:hAnsi="宋体" w:hint="eastAsia"/>
        </w:rPr>
        <w:t>上海中医药大学</w:t>
      </w:r>
      <w:r w:rsidR="00013C02" w:rsidRPr="00056E27">
        <w:rPr>
          <w:rFonts w:ascii="宋体" w:eastAsia="宋体" w:hAnsi="宋体" w:hint="eastAsia"/>
        </w:rPr>
        <w:t>校园信息基础设施建设标准和技术要求</w:t>
      </w:r>
    </w:p>
    <w:p w14:paraId="3E7C863E" w14:textId="77777777" w:rsidR="00013C02" w:rsidRPr="00013C02" w:rsidRDefault="00013C02" w:rsidP="00013C02">
      <w:pPr>
        <w:pStyle w:val="a3"/>
        <w:spacing w:before="101" w:beforeAutospacing="0" w:after="101" w:afterAutospacing="0" w:line="315" w:lineRule="atLeast"/>
        <w:jc w:val="center"/>
        <w:rPr>
          <w:rFonts w:asciiTheme="minorHAnsi" w:eastAsiaTheme="minorHAnsi" w:hAnsiTheme="minorHAnsi"/>
          <w:color w:val="000000"/>
          <w:sz w:val="21"/>
          <w:szCs w:val="21"/>
        </w:rPr>
      </w:pPr>
      <w:r w:rsidRPr="00013C02">
        <w:rPr>
          <w:rFonts w:asciiTheme="minorHAnsi" w:eastAsiaTheme="minorHAnsi" w:hAnsiTheme="minorHAnsi" w:hint="eastAsia"/>
          <w:color w:val="000000"/>
          <w:sz w:val="21"/>
          <w:szCs w:val="21"/>
        </w:rPr>
        <w:t>    </w:t>
      </w:r>
    </w:p>
    <w:p w14:paraId="4A36DBBA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一、大楼弱电间配置标准和技术要求：</w:t>
      </w:r>
    </w:p>
    <w:p w14:paraId="35985B4B" w14:textId="308247FC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cs="Times New Roman"/>
          <w:color w:val="000000"/>
          <w:sz w:val="28"/>
          <w:szCs w:val="21"/>
        </w:rPr>
        <w:t>1.</w:t>
      </w:r>
      <w:r w:rsidRPr="00056E27">
        <w:rPr>
          <w:rFonts w:hint="eastAsia"/>
          <w:color w:val="000000"/>
          <w:sz w:val="28"/>
          <w:szCs w:val="21"/>
        </w:rPr>
        <w:t>每栋大楼</w:t>
      </w:r>
      <w:r w:rsidR="00CE1CAA">
        <w:rPr>
          <w:rFonts w:hint="eastAsia"/>
          <w:color w:val="000000"/>
          <w:sz w:val="28"/>
          <w:szCs w:val="21"/>
        </w:rPr>
        <w:t>每一层</w:t>
      </w:r>
      <w:proofErr w:type="gramStart"/>
      <w:r w:rsidRPr="00056E27">
        <w:rPr>
          <w:rFonts w:hint="eastAsia"/>
          <w:color w:val="000000"/>
          <w:sz w:val="28"/>
          <w:szCs w:val="21"/>
        </w:rPr>
        <w:t>须设置</w:t>
      </w:r>
      <w:proofErr w:type="gramEnd"/>
      <w:r w:rsidRPr="00056E27">
        <w:rPr>
          <w:rFonts w:hint="eastAsia"/>
          <w:color w:val="000000"/>
          <w:sz w:val="28"/>
          <w:szCs w:val="21"/>
        </w:rPr>
        <w:t>至少一个弱电间，且原则上必须是独立封闭的，用以安放大楼的光缆进线、楼宇弱电布线汇集、网络设备、</w:t>
      </w:r>
      <w:proofErr w:type="gramStart"/>
      <w:r w:rsidRPr="00056E27">
        <w:rPr>
          <w:rFonts w:hint="eastAsia"/>
          <w:color w:val="000000"/>
          <w:sz w:val="28"/>
          <w:szCs w:val="21"/>
        </w:rPr>
        <w:t>一</w:t>
      </w:r>
      <w:proofErr w:type="gramEnd"/>
      <w:r w:rsidRPr="00056E27">
        <w:rPr>
          <w:rFonts w:hint="eastAsia"/>
          <w:color w:val="000000"/>
          <w:sz w:val="28"/>
          <w:szCs w:val="21"/>
        </w:rPr>
        <w:t>卡通设备、视频监控设备等信息基础设施，新建楼宇在基建设计中落实，已建楼宇由资产处负责调整落实。弱电间原则上由信息办负责使用和管理。为保证信息基础设施的安全稳定运行，弱电间不得堆放杂物、不得挪作它用、不得住人。</w:t>
      </w:r>
    </w:p>
    <w:p w14:paraId="30F3153A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2.当楼宇的规模较大或结构形式比较特殊时，应考虑在适当楼层或适当部位增设弱电间。弱电间的位置应尽可能选择靠近大楼中心、方便光缆进户的位置，以利于节省线缆、控制水平布线长度、减少传输损耗和提高系统性能。</w:t>
      </w:r>
    </w:p>
    <w:p w14:paraId="788228C2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3.大楼弱电间的面积与大楼弱电规模相当：安放一个标准机柜的设备间面积应不小于6平米，每增加一个标准机柜，机房面积应增加2-3平米。用作楼群（若干栋楼）网络汇聚点的弱电间面积不应小于8平米。</w:t>
      </w:r>
    </w:p>
    <w:p w14:paraId="3462A0C0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4.弱电间应保证有充分的管孔和室外地下管线孔相连。室内外相连的管孔应采用无缝钢管，一般大楼不少于2-3孔，用作汇聚点的大楼应不少于3-6孔。</w:t>
      </w:r>
    </w:p>
    <w:p w14:paraId="46BDAC68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lastRenderedPageBreak/>
        <w:t>5.弱电间应有独立的通风和排气设施，在有条件的地方应安装制冷空调。</w:t>
      </w:r>
    </w:p>
    <w:p w14:paraId="758BF6A2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6.弱电间应具备独立的可靠市电，为了确保设备的安全，必须配置防雷装置及漏电保护装置，条件许可的可配置具有断电自启功能的UPS电源。所有设备接地要求符合TIA/EIA-607标准，接地电阻不得大于1欧姆。</w:t>
      </w:r>
    </w:p>
    <w:p w14:paraId="1581916D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7.弱电间内每个标准机柜应相应配置一个16A单相电源，每个设备间应预留一个16A单相空调电源。电源线应布放到每一个机柜，电源线的布放可采用穿线管、行线架、线槽内布放，或采用明敷方式，不得随意地放在地上。每路电源线中间不得有接头。电源线应与通信线缆分开布放；如无条件分开时，电源线应穿金属管或采用铠装电缆。</w:t>
      </w:r>
    </w:p>
    <w:p w14:paraId="26B4BDB8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8.机柜内应按要求预留网络设备及接插件等安装空间，并配备数量充足的电源插座。机柜应配风扇，噪音低于60分贝，机柜前、后门及侧板均可以上锁。</w:t>
      </w:r>
    </w:p>
    <w:p w14:paraId="7EDEFB61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二、楼宇综合布线系统配置标准和技术要求：</w:t>
      </w:r>
    </w:p>
    <w:p w14:paraId="0C0496BB" w14:textId="39991CA5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1.信息点的分类要求及数量确定。楼宇信息点分别用于电话、有线网络、无线网络和视频监控，这些信息点的布设位置及数量应按实际需要确定，有线网络、无线网络和视频监控信息点汇聚到</w:t>
      </w:r>
      <w:proofErr w:type="gramStart"/>
      <w:r w:rsidRPr="00056E27">
        <w:rPr>
          <w:rFonts w:hint="eastAsia"/>
          <w:color w:val="000000"/>
          <w:sz w:val="28"/>
          <w:szCs w:val="21"/>
        </w:rPr>
        <w:t>弱电房配架</w:t>
      </w:r>
      <w:proofErr w:type="gramEnd"/>
      <w:r w:rsidRPr="00056E27">
        <w:rPr>
          <w:rFonts w:hint="eastAsia"/>
          <w:color w:val="000000"/>
          <w:sz w:val="28"/>
          <w:szCs w:val="21"/>
        </w:rPr>
        <w:t>后，必须分别设置独立的电缆配架，以实现有效的分类管理。信息点数量：楼宇内每间房间都必须设有信息点，留空白。一</w:t>
      </w:r>
      <w:r w:rsidRPr="00056E27">
        <w:rPr>
          <w:rFonts w:hint="eastAsia"/>
          <w:color w:val="000000"/>
          <w:sz w:val="28"/>
          <w:szCs w:val="21"/>
        </w:rPr>
        <w:lastRenderedPageBreak/>
        <w:t>般办公室2-4点/10平米；一般教室2点，大型教室2-4点；学生宿舍1点；实验室按不同类型而定，一般实验室2-4点/间。</w:t>
      </w:r>
    </w:p>
    <w:p w14:paraId="271748B8" w14:textId="338EA5C6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2.布线产品的选用。应采用市场主流品牌并符合标准的绿色电缆（阻燃、低烟、无卤素或PVC阻燃型及PLENUM电缆），要求经过UL、ETL或DELTA等相关认证；面板应采用原厂方形防尘面板，面板、模块的外壳采用阻燃塑料，面板颜色由供货时招标人指定。模块八根接触金针表面镀金，镀金厚度不低于50微米，最低插拔次数不低于750次；铜缆跳线采用通用8位模块化的原厂跳线。跳线、模块、线缆、配线架：统一采用六类</w:t>
      </w:r>
      <w:r w:rsidR="00CE1CAA">
        <w:rPr>
          <w:rFonts w:hint="eastAsia"/>
          <w:color w:val="000000"/>
          <w:sz w:val="28"/>
          <w:szCs w:val="21"/>
        </w:rPr>
        <w:t>或以上</w:t>
      </w:r>
      <w:bookmarkStart w:id="0" w:name="_GoBack"/>
      <w:bookmarkEnd w:id="0"/>
      <w:r w:rsidRPr="00056E27">
        <w:rPr>
          <w:rFonts w:hint="eastAsia"/>
          <w:color w:val="000000"/>
          <w:sz w:val="28"/>
          <w:szCs w:val="21"/>
        </w:rPr>
        <w:t>原厂产品。光纤配线架采用FC、SC或LC光纤耦合器，</w:t>
      </w:r>
      <w:proofErr w:type="gramStart"/>
      <w:r w:rsidRPr="00056E27">
        <w:rPr>
          <w:rFonts w:hint="eastAsia"/>
          <w:color w:val="000000"/>
          <w:sz w:val="28"/>
          <w:szCs w:val="21"/>
        </w:rPr>
        <w:t>配原厂商</w:t>
      </w:r>
      <w:proofErr w:type="gramEnd"/>
      <w:r w:rsidRPr="00056E27">
        <w:rPr>
          <w:rFonts w:hint="eastAsia"/>
          <w:color w:val="000000"/>
          <w:sz w:val="28"/>
          <w:szCs w:val="21"/>
        </w:rPr>
        <w:t>光纤跳线。必须提供所有接插件、铜缆、光缆的UL或国内权威机构测试合格文件。</w:t>
      </w:r>
    </w:p>
    <w:p w14:paraId="434D8AF1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3.所</w:t>
      </w:r>
      <w:proofErr w:type="gramStart"/>
      <w:r w:rsidRPr="00056E27">
        <w:rPr>
          <w:rFonts w:hint="eastAsia"/>
          <w:color w:val="000000"/>
          <w:sz w:val="28"/>
          <w:szCs w:val="21"/>
        </w:rPr>
        <w:t>有线缆应按</w:t>
      </w:r>
      <w:proofErr w:type="gramEnd"/>
      <w:r w:rsidRPr="00056E27">
        <w:rPr>
          <w:rFonts w:hint="eastAsia"/>
          <w:color w:val="000000"/>
          <w:sz w:val="28"/>
          <w:szCs w:val="21"/>
        </w:rPr>
        <w:t>设计图纸一次敷设到位，除非设计的分支配线，中间不得有任何形式的接续。需要分支配线时，应在分支位置配置分线盒。所有的线缆应敷设在桥架、线槽或线管内，线缆的敷设应平直，不得产生扭绞、打圈等现象，不应受到外力的挤压和损伤。线缆的端接应采用专门的</w:t>
      </w:r>
      <w:proofErr w:type="gramStart"/>
      <w:r w:rsidRPr="00056E27">
        <w:rPr>
          <w:rFonts w:hint="eastAsia"/>
          <w:color w:val="000000"/>
          <w:sz w:val="28"/>
          <w:szCs w:val="21"/>
        </w:rPr>
        <w:t>线耳固定</w:t>
      </w:r>
      <w:proofErr w:type="gramEnd"/>
      <w:r w:rsidRPr="00056E27">
        <w:rPr>
          <w:rFonts w:hint="eastAsia"/>
          <w:color w:val="000000"/>
          <w:sz w:val="28"/>
          <w:szCs w:val="21"/>
        </w:rPr>
        <w:t>，不得拧绞、焊接。</w:t>
      </w:r>
    </w:p>
    <w:p w14:paraId="10D82010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4.敷设多条线缆的位置</w:t>
      </w:r>
      <w:proofErr w:type="gramStart"/>
      <w:r w:rsidRPr="00056E27">
        <w:rPr>
          <w:rFonts w:hint="eastAsia"/>
          <w:color w:val="000000"/>
          <w:sz w:val="28"/>
          <w:szCs w:val="21"/>
        </w:rPr>
        <w:t>应用扎线带</w:t>
      </w:r>
      <w:proofErr w:type="gramEnd"/>
      <w:r w:rsidRPr="00056E27">
        <w:rPr>
          <w:rFonts w:hint="eastAsia"/>
          <w:color w:val="000000"/>
          <w:sz w:val="28"/>
          <w:szCs w:val="21"/>
        </w:rPr>
        <w:t>绑扎，</w:t>
      </w:r>
      <w:proofErr w:type="gramStart"/>
      <w:r w:rsidRPr="00056E27">
        <w:rPr>
          <w:rFonts w:hint="eastAsia"/>
          <w:color w:val="000000"/>
          <w:sz w:val="28"/>
          <w:szCs w:val="21"/>
        </w:rPr>
        <w:t>扎线带</w:t>
      </w:r>
      <w:proofErr w:type="gramEnd"/>
      <w:r w:rsidRPr="00056E27">
        <w:rPr>
          <w:rFonts w:hint="eastAsia"/>
          <w:color w:val="000000"/>
          <w:sz w:val="28"/>
          <w:szCs w:val="21"/>
        </w:rPr>
        <w:t>应保持相应间距，</w:t>
      </w:r>
      <w:proofErr w:type="gramStart"/>
      <w:r w:rsidRPr="00056E27">
        <w:rPr>
          <w:rFonts w:hint="eastAsia"/>
          <w:color w:val="000000"/>
          <w:sz w:val="28"/>
          <w:szCs w:val="21"/>
        </w:rPr>
        <w:t>线缆扎线带</w:t>
      </w:r>
      <w:proofErr w:type="gramEnd"/>
      <w:r w:rsidRPr="00056E27">
        <w:rPr>
          <w:rFonts w:hint="eastAsia"/>
          <w:color w:val="000000"/>
          <w:sz w:val="28"/>
          <w:szCs w:val="21"/>
        </w:rPr>
        <w:t>的绑扎不能太紧以免影响线缆的使用。所有电缆</w:t>
      </w:r>
      <w:proofErr w:type="gramStart"/>
      <w:r w:rsidRPr="00056E27">
        <w:rPr>
          <w:rFonts w:hint="eastAsia"/>
          <w:color w:val="000000"/>
          <w:sz w:val="28"/>
          <w:szCs w:val="21"/>
        </w:rPr>
        <w:t>或其芯线</w:t>
      </w:r>
      <w:proofErr w:type="gramEnd"/>
      <w:r w:rsidRPr="00056E27">
        <w:rPr>
          <w:rFonts w:hint="eastAsia"/>
          <w:color w:val="000000"/>
          <w:sz w:val="28"/>
          <w:szCs w:val="21"/>
        </w:rPr>
        <w:t>均应按照交流相位、直流极性配色，配色方法应一致，便于识别。</w:t>
      </w:r>
    </w:p>
    <w:p w14:paraId="4E52B77D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lastRenderedPageBreak/>
        <w:t>5.在交换机和</w:t>
      </w:r>
      <w:proofErr w:type="gramStart"/>
      <w:r w:rsidRPr="00056E27">
        <w:rPr>
          <w:rFonts w:hint="eastAsia"/>
          <w:color w:val="000000"/>
          <w:sz w:val="28"/>
          <w:szCs w:val="21"/>
        </w:rPr>
        <w:t>电缆配架之间</w:t>
      </w:r>
      <w:proofErr w:type="gramEnd"/>
      <w:r w:rsidRPr="00056E27">
        <w:rPr>
          <w:rFonts w:hint="eastAsia"/>
          <w:color w:val="000000"/>
          <w:sz w:val="28"/>
          <w:szCs w:val="21"/>
        </w:rPr>
        <w:t>应采用铜缆跳线完成弱电端口和交换机端口的连接，线缆的排列应避免交叉，布放长度应有冗余。光缆配件之间或交换机和</w:t>
      </w:r>
      <w:proofErr w:type="gramStart"/>
      <w:r w:rsidRPr="00056E27">
        <w:rPr>
          <w:rFonts w:hint="eastAsia"/>
          <w:color w:val="000000"/>
          <w:sz w:val="28"/>
          <w:szCs w:val="21"/>
        </w:rPr>
        <w:t>光缆配架之间</w:t>
      </w:r>
      <w:proofErr w:type="gramEnd"/>
      <w:r w:rsidRPr="00056E27">
        <w:rPr>
          <w:rFonts w:hint="eastAsia"/>
          <w:color w:val="000000"/>
          <w:sz w:val="28"/>
          <w:szCs w:val="21"/>
        </w:rPr>
        <w:t>光缆尾</w:t>
      </w:r>
      <w:proofErr w:type="gramStart"/>
      <w:r w:rsidRPr="00056E27">
        <w:rPr>
          <w:rFonts w:hint="eastAsia"/>
          <w:color w:val="000000"/>
          <w:sz w:val="28"/>
          <w:szCs w:val="21"/>
        </w:rPr>
        <w:t>纤</w:t>
      </w:r>
      <w:proofErr w:type="gramEnd"/>
      <w:r w:rsidRPr="00056E27">
        <w:rPr>
          <w:rFonts w:hint="eastAsia"/>
          <w:color w:val="000000"/>
          <w:sz w:val="28"/>
          <w:szCs w:val="21"/>
        </w:rPr>
        <w:t>的预留长度为2m-5m。有特殊要求的应按设计要求预留长度。</w:t>
      </w:r>
    </w:p>
    <w:p w14:paraId="565620A8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6.所有线缆在进入设备机柜前必须放置于线槽、线管内，应排列整齐，并绑扎在机柜内的布线槽内，不得外露。线缆的敷设不得</w:t>
      </w:r>
      <w:proofErr w:type="gramStart"/>
      <w:r w:rsidRPr="00056E27">
        <w:rPr>
          <w:rFonts w:hint="eastAsia"/>
          <w:color w:val="000000"/>
          <w:sz w:val="28"/>
          <w:szCs w:val="21"/>
        </w:rPr>
        <w:t>影响机柜门</w:t>
      </w:r>
      <w:proofErr w:type="gramEnd"/>
      <w:r w:rsidRPr="00056E27">
        <w:rPr>
          <w:rFonts w:hint="eastAsia"/>
          <w:color w:val="000000"/>
          <w:sz w:val="28"/>
          <w:szCs w:val="21"/>
        </w:rPr>
        <w:t>的开启或关闭、设备的更换。光缆尾欠在进入接入设备端口前必须使用软（硬）套管。</w:t>
      </w:r>
    </w:p>
    <w:p w14:paraId="412FBC9A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7.所有线</w:t>
      </w:r>
      <w:proofErr w:type="gramStart"/>
      <w:r w:rsidRPr="00056E27">
        <w:rPr>
          <w:rFonts w:hint="eastAsia"/>
          <w:color w:val="000000"/>
          <w:sz w:val="28"/>
          <w:szCs w:val="21"/>
        </w:rPr>
        <w:t>缆</w:t>
      </w:r>
      <w:proofErr w:type="gramEnd"/>
      <w:r w:rsidRPr="00056E27">
        <w:rPr>
          <w:rFonts w:hint="eastAsia"/>
          <w:color w:val="000000"/>
          <w:sz w:val="28"/>
          <w:szCs w:val="21"/>
        </w:rPr>
        <w:t>必须设置标签，线缆的两端及中途可为人接触的地方</w:t>
      </w:r>
      <w:proofErr w:type="gramStart"/>
      <w:r w:rsidRPr="00056E27">
        <w:rPr>
          <w:rFonts w:hint="eastAsia"/>
          <w:color w:val="000000"/>
          <w:sz w:val="28"/>
          <w:szCs w:val="21"/>
        </w:rPr>
        <w:t>须设置</w:t>
      </w:r>
      <w:proofErr w:type="gramEnd"/>
      <w:r w:rsidRPr="00056E27">
        <w:rPr>
          <w:rFonts w:hint="eastAsia"/>
          <w:color w:val="000000"/>
          <w:sz w:val="28"/>
          <w:szCs w:val="21"/>
        </w:rPr>
        <w:t>标签，标签设置应规范、清晰、耐用、不宜脱落，禁止人工书写。设备和线缆的所有铭牌、使用指示、警告指示、技术性能参数、线缆及其连接装置的标签必须易识别且中文表示。铭牌材料必须防锈、防潮，所有铭牌上的字体、颜色与铭牌的底色必须呈鲜明的对比，保证视觉效果清晰、舒适。标签应具有永久的防脱落、防水、防高温特性。所有光缆建议采用喷漆防锈标牌，铜缆网线和光缆尾</w:t>
      </w:r>
      <w:proofErr w:type="gramStart"/>
      <w:r w:rsidRPr="00056E27">
        <w:rPr>
          <w:rFonts w:hint="eastAsia"/>
          <w:color w:val="000000"/>
          <w:sz w:val="28"/>
          <w:szCs w:val="21"/>
        </w:rPr>
        <w:t>纤</w:t>
      </w:r>
      <w:proofErr w:type="gramEnd"/>
      <w:r w:rsidRPr="00056E27">
        <w:rPr>
          <w:rFonts w:hint="eastAsia"/>
          <w:color w:val="000000"/>
          <w:sz w:val="28"/>
          <w:szCs w:val="21"/>
        </w:rPr>
        <w:t>的配线、跳线和接线盒都应使用激光打印的</w:t>
      </w:r>
      <w:proofErr w:type="gramStart"/>
      <w:r w:rsidRPr="00056E27">
        <w:rPr>
          <w:rFonts w:hint="eastAsia"/>
          <w:color w:val="000000"/>
          <w:sz w:val="28"/>
          <w:szCs w:val="21"/>
        </w:rPr>
        <w:t>黏</w:t>
      </w:r>
      <w:proofErr w:type="gramEnd"/>
      <w:r w:rsidRPr="00056E27">
        <w:rPr>
          <w:rFonts w:hint="eastAsia"/>
          <w:color w:val="000000"/>
          <w:sz w:val="28"/>
          <w:szCs w:val="21"/>
        </w:rPr>
        <w:t>贴标签，按照招标方的编号规则予以标识。</w:t>
      </w:r>
    </w:p>
    <w:p w14:paraId="5F63252D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8.弱电桥架系统包括水平桥架、垂直桥架。综合布线等弱电系统单独使用壹套桥架，不得与强电系统桥架混合使用。</w:t>
      </w:r>
    </w:p>
    <w:p w14:paraId="79962941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9.在垂直桥架内</w:t>
      </w:r>
      <w:proofErr w:type="gramStart"/>
      <w:r w:rsidRPr="00056E27">
        <w:rPr>
          <w:rFonts w:hint="eastAsia"/>
          <w:color w:val="000000"/>
          <w:sz w:val="28"/>
          <w:szCs w:val="21"/>
        </w:rPr>
        <w:t>留出绑线位置</w:t>
      </w:r>
      <w:proofErr w:type="gramEnd"/>
      <w:r w:rsidRPr="00056E27">
        <w:rPr>
          <w:rFonts w:hint="eastAsia"/>
          <w:color w:val="000000"/>
          <w:sz w:val="28"/>
          <w:szCs w:val="21"/>
        </w:rPr>
        <w:t>，垂直线</w:t>
      </w:r>
      <w:proofErr w:type="gramStart"/>
      <w:r w:rsidRPr="00056E27">
        <w:rPr>
          <w:rFonts w:hint="eastAsia"/>
          <w:color w:val="000000"/>
          <w:sz w:val="28"/>
          <w:szCs w:val="21"/>
        </w:rPr>
        <w:t>缆</w:t>
      </w:r>
      <w:proofErr w:type="gramEnd"/>
      <w:r w:rsidRPr="00056E27">
        <w:rPr>
          <w:rFonts w:hint="eastAsia"/>
          <w:color w:val="000000"/>
          <w:sz w:val="28"/>
          <w:szCs w:val="21"/>
        </w:rPr>
        <w:t>采用钢带分段绑扎，绑扎点间距2米。线管埋入墙内，采用软管接入桥架。桥架在弱电</w:t>
      </w:r>
      <w:r w:rsidRPr="00056E27">
        <w:rPr>
          <w:rFonts w:hint="eastAsia"/>
          <w:color w:val="000000"/>
          <w:sz w:val="28"/>
          <w:szCs w:val="21"/>
        </w:rPr>
        <w:lastRenderedPageBreak/>
        <w:t>井的布线机柜</w:t>
      </w:r>
      <w:proofErr w:type="gramStart"/>
      <w:r w:rsidRPr="00056E27">
        <w:rPr>
          <w:rFonts w:hint="eastAsia"/>
          <w:color w:val="000000"/>
          <w:sz w:val="28"/>
          <w:szCs w:val="21"/>
        </w:rPr>
        <w:t>顶上呈</w:t>
      </w:r>
      <w:proofErr w:type="gramEnd"/>
      <w:r w:rsidRPr="00056E27">
        <w:rPr>
          <w:rFonts w:hint="eastAsia"/>
          <w:color w:val="000000"/>
          <w:sz w:val="28"/>
          <w:szCs w:val="21"/>
        </w:rPr>
        <w:t>梯形进口。桥架施工必须满足GB50303-2002《建筑电气工程施工质量验收规范》要求。</w:t>
      </w:r>
    </w:p>
    <w:p w14:paraId="10B990C3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三、布线系统专业技术标准：</w:t>
      </w:r>
    </w:p>
    <w:p w14:paraId="39F33CEA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1.信息产业部有关综合布线的文件及标准</w:t>
      </w:r>
    </w:p>
    <w:p w14:paraId="4374C010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（1）通信电源设备安装设计规范YD5040-97</w:t>
      </w:r>
    </w:p>
    <w:p w14:paraId="70F90498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（2）通信局（站）接地设计暂行技术规定（综合楼部分）YDJ26-89</w:t>
      </w:r>
    </w:p>
    <w:p w14:paraId="1C3232CF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（3）用户接入网工程设计暂行规定YD5023-96</w:t>
      </w:r>
    </w:p>
    <w:p w14:paraId="4CD3DEC7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（4）通信管道工程施工及验收技术规范YDJ39-90</w:t>
      </w:r>
    </w:p>
    <w:p w14:paraId="77165F3E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（5）本地网通信线路工程验收规范YD5051-97</w:t>
      </w:r>
    </w:p>
    <w:p w14:paraId="3050BD65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（6）信息产业部（626号和945号）综合布线</w:t>
      </w:r>
    </w:p>
    <w:p w14:paraId="247E8683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2.国家建设部有关综合布线的文件及标准</w:t>
      </w:r>
    </w:p>
    <w:p w14:paraId="24FB199F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（1） 建筑与建筑群综合布线工程设计规范GB/T50311-2000</w:t>
      </w:r>
    </w:p>
    <w:p w14:paraId="5012ADEB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（2）建筑与建筑群综合布线工程验收规范GB/T50312-2000</w:t>
      </w:r>
    </w:p>
    <w:p w14:paraId="77A7034F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（3）智能建筑设计标准 GB/T50314-2000</w:t>
      </w:r>
    </w:p>
    <w:p w14:paraId="5D36DFF7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（4）城市住宅建筑综合布线系统工程设计规范CECS199-2000</w:t>
      </w:r>
    </w:p>
    <w:p w14:paraId="1D3AE0B9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（5）通用用户管线建设企业资质管理办法（试行）</w:t>
      </w:r>
    </w:p>
    <w:p w14:paraId="76CBD273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3. 上海市建委有关综合布线的文件及标准</w:t>
      </w:r>
    </w:p>
    <w:p w14:paraId="04557D4B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（1）建筑智能化系统集成专项资质标准（试行）</w:t>
      </w:r>
    </w:p>
    <w:p w14:paraId="5EB44EEE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lastRenderedPageBreak/>
        <w:t>4. 国外和国际主要标准</w:t>
      </w:r>
    </w:p>
    <w:p w14:paraId="4644F280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（1）ANSI/TIA/EIA568-B.1商业建筑电信布线</w:t>
      </w:r>
      <w:proofErr w:type="gramStart"/>
      <w:r w:rsidRPr="00056E27">
        <w:rPr>
          <w:rFonts w:hint="eastAsia"/>
          <w:color w:val="000000"/>
          <w:sz w:val="28"/>
          <w:szCs w:val="21"/>
        </w:rPr>
        <w:t>标准第</w:t>
      </w:r>
      <w:proofErr w:type="gramEnd"/>
      <w:r w:rsidRPr="00056E27">
        <w:rPr>
          <w:rFonts w:hint="eastAsia"/>
          <w:color w:val="000000"/>
          <w:sz w:val="28"/>
          <w:szCs w:val="21"/>
        </w:rPr>
        <w:t>一部分: 一般标准</w:t>
      </w:r>
    </w:p>
    <w:p w14:paraId="5E1803DF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（2）ANSI/TIA/EIA568-B.3 光缆布线标准</w:t>
      </w:r>
    </w:p>
    <w:p w14:paraId="5A596704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（3）ANSI/TIA/EIA569-A电信通路和空间商业建筑布线标准</w:t>
      </w:r>
    </w:p>
    <w:p w14:paraId="32D1D899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（4）ANSI/TIA/EIA570-A 住宅电信电缆布线标准</w:t>
      </w:r>
    </w:p>
    <w:p w14:paraId="376F3EBF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（5）ANSI/TIA/EIA607商业建筑电信接地和接线标准</w:t>
      </w:r>
    </w:p>
    <w:p w14:paraId="41C70512" w14:textId="77777777" w:rsidR="00013C02" w:rsidRPr="00056E27" w:rsidRDefault="00013C02" w:rsidP="00C92D9D">
      <w:pPr>
        <w:pStyle w:val="a3"/>
        <w:spacing w:before="101" w:beforeAutospacing="0" w:after="101" w:afterAutospacing="0" w:line="315" w:lineRule="atLeast"/>
        <w:ind w:firstLineChars="200" w:firstLine="560"/>
        <w:rPr>
          <w:color w:val="000000"/>
          <w:sz w:val="28"/>
          <w:szCs w:val="21"/>
        </w:rPr>
      </w:pPr>
      <w:r w:rsidRPr="00056E27">
        <w:rPr>
          <w:rFonts w:hint="eastAsia"/>
          <w:color w:val="000000"/>
          <w:sz w:val="28"/>
          <w:szCs w:val="21"/>
        </w:rPr>
        <w:t>（6）ANSI/TIA/EIA607商业建筑电信接地和接线标准</w:t>
      </w:r>
    </w:p>
    <w:p w14:paraId="25EE0438" w14:textId="77777777" w:rsidR="00581C2B" w:rsidRPr="00013C02" w:rsidRDefault="00CE1CAA">
      <w:pPr>
        <w:rPr>
          <w:rFonts w:eastAsiaTheme="minorHAnsi"/>
        </w:rPr>
      </w:pPr>
    </w:p>
    <w:sectPr w:rsidR="00581C2B" w:rsidRPr="0001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AD"/>
    <w:rsid w:val="00013C02"/>
    <w:rsid w:val="00056E27"/>
    <w:rsid w:val="00160D05"/>
    <w:rsid w:val="002410AD"/>
    <w:rsid w:val="002817E1"/>
    <w:rsid w:val="0039514B"/>
    <w:rsid w:val="00643F1C"/>
    <w:rsid w:val="00BC5651"/>
    <w:rsid w:val="00C92D9D"/>
    <w:rsid w:val="00C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1560"/>
  <w15:chartTrackingRefBased/>
  <w15:docId w15:val="{BA97631C-5466-427C-B366-B5D218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92D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92D9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boer</dc:creator>
  <cp:keywords/>
  <dc:description/>
  <cp:lastModifiedBy>Hitman</cp:lastModifiedBy>
  <cp:revision>6</cp:revision>
  <dcterms:created xsi:type="dcterms:W3CDTF">2019-04-16T06:00:00Z</dcterms:created>
  <dcterms:modified xsi:type="dcterms:W3CDTF">2023-05-29T00:56:00Z</dcterms:modified>
</cp:coreProperties>
</file>